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r>
        <w:t xml:space="preserve">RNA Report – Breakdown for Bosch Ranges with Top Themes</w:t>
      </w:r>
    </w:p>
    <w:p/>
    <w:p>
      <w:pPr>
        <w:pStyle w:val="Title"/>
      </w:pPr>
      <w:r>
        <w:t xml:space="preserve">Bosch RNA Feedback Report — Top Themes by Product Category</w:t>
      </w:r>
    </w:p>
    <w:p/>
    <w:p/>
    <w:p/>
    <w:p>
      <w:pPr>
        <w:pStyle w:val="Heading1"/>
      </w:pPr>
      <w:r>
        <w:t xml:space="preserve">1. Ranges</w:t>
      </w:r>
    </w:p>
    <w:p/>
    <w:p>
      <w:pPr>
        <w:pStyle w:val="Heading2"/>
      </w:pPr>
      <w:r>
        <w:t xml:space="preserve">Positive feedback by topic</w:t>
      </w:r>
    </w:p>
    <w:p>
      <w:r>
        <w:t xml:space="preserve">Positive feedback for ranges is concentrated around overall quality, appearance, and controls, with smaller mentions of availability, burners, and documentation.</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29.4%</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17.6%</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c>
          <w:tcPr>
            <w:tcW w:w="2200" w:type="dxa"/>
            <w:tcBorders>
              <w:top w:val="single" w:sz="4" w:space="0" w:color="D0D5DD"/>
              <w:left w:val="single" w:sz="4" w:space="0" w:color="D0D5DD"/>
              <w:bottom w:val="single" w:sz="4" w:space="0" w:color="D0D5DD"/>
              <w:right w:val="single" w:sz="4" w:space="0" w:color="D0D5DD"/>
            </w:tcBorders>
          </w:tcPr>
          <w:p>
            <w:r>
              <w:t xml:space="preserve">66.7%</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17.6%</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11.8%</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Negative feedback by topic</w:t>
      </w:r>
    </w:p>
    <w:p>
      <w:r>
        <w:t xml:space="preserve">Negative feedback is dominated by controls, overall quality, and temperature performance, with recurring mentions of appearance, burners, customer service, and noise.</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22.9%</w:t>
            </w:r>
          </w:p>
        </w:tc>
        <w:tc>
          <w:tcPr>
            <w:tcW w:w="2200" w:type="dxa"/>
            <w:tcBorders>
              <w:top w:val="single" w:sz="4" w:space="0" w:color="D0D5DD"/>
              <w:left w:val="single" w:sz="4" w:space="0" w:color="D0D5DD"/>
              <w:bottom w:val="single" w:sz="4" w:space="0" w:color="D0D5DD"/>
              <w:right w:val="single" w:sz="4" w:space="0" w:color="D0D5DD"/>
            </w:tcBorders>
          </w:tcPr>
          <w:p>
            <w:r>
              <w:t xml:space="preserve">16.7%</w:t>
            </w:r>
          </w:p>
        </w:tc>
        <w:tc>
          <w:tcPr>
            <w:tcW w:w="2200" w:type="dxa"/>
            <w:tcBorders>
              <w:top w:val="single" w:sz="4" w:space="0" w:color="D0D5DD"/>
              <w:left w:val="single" w:sz="4" w:space="0" w:color="D0D5DD"/>
              <w:bottom w:val="single" w:sz="4" w:space="0" w:color="D0D5DD"/>
              <w:right w:val="single" w:sz="4" w:space="0" w:color="D0D5DD"/>
            </w:tcBorders>
          </w:tcPr>
          <w:p>
            <w:r>
              <w:t xml:space="preserve">38.7%</w:t>
            </w:r>
          </w:p>
        </w:tc>
        <w:tc>
          <w:tcPr>
            <w:tcW w:w="2200" w:type="dxa"/>
            <w:tcBorders>
              <w:top w:val="single" w:sz="4" w:space="0" w:color="D0D5DD"/>
              <w:left w:val="single" w:sz="4" w:space="0" w:color="D0D5DD"/>
              <w:bottom w:val="single" w:sz="4" w:space="0" w:color="D0D5DD"/>
              <w:right w:val="single" w:sz="4" w:space="0" w:color="D0D5DD"/>
            </w:tcBorders>
          </w:tcPr>
          <w:p>
            <w:r>
              <w:t xml:space="preserve">50.0%</w:t>
            </w:r>
          </w:p>
        </w:tc>
        <w:tc>
          <w:tcPr>
            <w:tcW w:w="2200" w:type="dxa"/>
            <w:tcBorders>
              <w:top w:val="single" w:sz="4" w:space="0" w:color="D0D5DD"/>
              <w:left w:val="single" w:sz="4" w:space="0" w:color="D0D5DD"/>
              <w:bottom w:val="single" w:sz="4" w:space="0" w:color="D0D5DD"/>
              <w:right w:val="single" w:sz="4" w:space="0" w:color="D0D5DD"/>
            </w:tcBorders>
          </w:tcPr>
          <w:p>
            <w:r>
              <w:t xml:space="preserve">31.2%</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25.0%</w:t>
            </w:r>
          </w:p>
        </w:tc>
        <w:tc>
          <w:tcPr>
            <w:tcW w:w="2200" w:type="dxa"/>
            <w:tcBorders>
              <w:top w:val="single" w:sz="4" w:space="0" w:color="D0D5DD"/>
              <w:left w:val="single" w:sz="4" w:space="0" w:color="D0D5DD"/>
              <w:bottom w:val="single" w:sz="4" w:space="0" w:color="D0D5DD"/>
              <w:right w:val="single" w:sz="4" w:space="0" w:color="D0D5DD"/>
            </w:tcBorders>
          </w:tcPr>
          <w:p>
            <w:r>
              <w:t xml:space="preserve">37.5%</w:t>
            </w:r>
          </w:p>
        </w:tc>
        <w:tc>
          <w:tcPr>
            <w:tcW w:w="2200" w:type="dxa"/>
            <w:tcBorders>
              <w:top w:val="single" w:sz="4" w:space="0" w:color="D0D5DD"/>
              <w:left w:val="single" w:sz="4" w:space="0" w:color="D0D5DD"/>
              <w:bottom w:val="single" w:sz="4" w:space="0" w:color="D0D5DD"/>
              <w:right w:val="single" w:sz="4" w:space="0" w:color="D0D5DD"/>
            </w:tcBorders>
          </w:tcPr>
          <w:p>
            <w:r>
              <w:t xml:space="preserve">22.7%</w:t>
            </w:r>
          </w:p>
        </w:tc>
        <w:tc>
          <w:tcPr>
            <w:tcW w:w="2200" w:type="dxa"/>
            <w:tcBorders>
              <w:top w:val="single" w:sz="4" w:space="0" w:color="D0D5DD"/>
              <w:left w:val="single" w:sz="4" w:space="0" w:color="D0D5DD"/>
              <w:bottom w:val="single" w:sz="4" w:space="0" w:color="D0D5DD"/>
              <w:right w:val="single" w:sz="4" w:space="0" w:color="D0D5DD"/>
            </w:tcBorders>
          </w:tcPr>
          <w:p>
            <w:r>
              <w:t xml:space="preserve">30.0%</w:t>
            </w:r>
          </w:p>
        </w:tc>
        <w:tc>
          <w:tcPr>
            <w:tcW w:w="2200" w:type="dxa"/>
            <w:tcBorders>
              <w:top w:val="single" w:sz="4" w:space="0" w:color="D0D5DD"/>
              <w:left w:val="single" w:sz="4" w:space="0" w:color="D0D5DD"/>
              <w:bottom w:val="single" w:sz="4" w:space="0" w:color="D0D5DD"/>
              <w:right w:val="single" w:sz="4" w:space="0" w:color="D0D5DD"/>
            </w:tcBorders>
          </w:tcPr>
          <w:p>
            <w:r>
              <w:t xml:space="preserve">26.1%</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10.4%</w:t>
            </w:r>
          </w:p>
        </w:tc>
        <w:tc>
          <w:tcPr>
            <w:tcW w:w="2200" w:type="dxa"/>
            <w:tcBorders>
              <w:top w:val="single" w:sz="4" w:space="0" w:color="D0D5DD"/>
              <w:left w:val="single" w:sz="4" w:space="0" w:color="D0D5DD"/>
              <w:bottom w:val="single" w:sz="4" w:space="0" w:color="D0D5DD"/>
              <w:right w:val="single" w:sz="4" w:space="0" w:color="D0D5DD"/>
            </w:tcBorders>
          </w:tcPr>
          <w:p>
            <w:r>
              <w:t xml:space="preserve">20.8%</w:t>
            </w:r>
          </w:p>
        </w:tc>
        <w:tc>
          <w:tcPr>
            <w:tcW w:w="2200" w:type="dxa"/>
            <w:tcBorders>
              <w:top w:val="single" w:sz="4" w:space="0" w:color="D0D5DD"/>
              <w:left w:val="single" w:sz="4" w:space="0" w:color="D0D5DD"/>
              <w:bottom w:val="single" w:sz="4" w:space="0" w:color="D0D5DD"/>
              <w:right w:val="single" w:sz="4" w:space="0" w:color="D0D5DD"/>
            </w:tcBorders>
          </w:tcPr>
          <w:p>
            <w:r>
              <w:t xml:space="preserve">6.7%</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10.8%</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8.3%</w:t>
            </w:r>
          </w:p>
        </w:tc>
        <w:tc>
          <w:tcPr>
            <w:tcW w:w="2200" w:type="dxa"/>
            <w:tcBorders>
              <w:top w:val="single" w:sz="4" w:space="0" w:color="D0D5DD"/>
              <w:left w:val="single" w:sz="4" w:space="0" w:color="D0D5DD"/>
              <w:bottom w:val="single" w:sz="4" w:space="0" w:color="D0D5DD"/>
              <w:right w:val="single" w:sz="4" w:space="0" w:color="D0D5DD"/>
            </w:tcBorders>
          </w:tcPr>
          <w:p>
            <w:r>
              <w:t xml:space="preserve">8.3%</w:t>
            </w:r>
          </w:p>
        </w:tc>
        <w:tc>
          <w:tcPr>
            <w:tcW w:w="2200" w:type="dxa"/>
            <w:tcBorders>
              <w:top w:val="single" w:sz="4" w:space="0" w:color="D0D5DD"/>
              <w:left w:val="single" w:sz="4" w:space="0" w:color="D0D5DD"/>
              <w:bottom w:val="single" w:sz="4" w:space="0" w:color="D0D5DD"/>
              <w:right w:val="single" w:sz="4" w:space="0" w:color="D0D5DD"/>
            </w:tcBorders>
          </w:tcPr>
          <w:p>
            <w:r>
              <w:t xml:space="preserve">8.0%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7.6%</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10.4%</w:t>
            </w:r>
          </w:p>
        </w:tc>
        <w:tc>
          <w:tcPr>
            <w:tcW w:w="2200" w:type="dxa"/>
            <w:tcBorders>
              <w:top w:val="single" w:sz="4" w:space="0" w:color="D0D5DD"/>
              <w:left w:val="single" w:sz="4" w:space="0" w:color="D0D5DD"/>
              <w:bottom w:val="single" w:sz="4" w:space="0" w:color="D0D5DD"/>
              <w:right w:val="single" w:sz="4" w:space="0" w:color="D0D5DD"/>
            </w:tcBorders>
          </w:tcPr>
          <w:p>
            <w:r>
              <w:t xml:space="preserve">4.2%</w:t>
            </w:r>
          </w:p>
        </w:tc>
        <w:tc>
          <w:tcPr>
            <w:tcW w:w="2200" w:type="dxa"/>
            <w:tcBorders>
              <w:top w:val="single" w:sz="4" w:space="0" w:color="D0D5DD"/>
              <w:left w:val="single" w:sz="4" w:space="0" w:color="D0D5DD"/>
              <w:bottom w:val="single" w:sz="4" w:space="0" w:color="D0D5DD"/>
              <w:right w:val="single" w:sz="4" w:space="0" w:color="D0D5DD"/>
            </w:tcBorders>
          </w:tcPr>
          <w:p>
            <w:r>
              <w:t xml:space="preserve">6.7%</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7.0%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8.3%</w:t>
            </w:r>
          </w:p>
        </w:tc>
        <w:tc>
          <w:tcPr>
            <w:tcW w:w="2200" w:type="dxa"/>
            <w:tcBorders>
              <w:top w:val="single" w:sz="4" w:space="0" w:color="D0D5DD"/>
              <w:left w:val="single" w:sz="4" w:space="0" w:color="D0D5DD"/>
              <w:bottom w:val="single" w:sz="4" w:space="0" w:color="D0D5DD"/>
              <w:right w:val="single" w:sz="4" w:space="0" w:color="D0D5DD"/>
            </w:tcBorders>
          </w:tcPr>
          <w:p>
            <w:r>
              <w:t xml:space="preserve">8.3%</w:t>
            </w:r>
          </w:p>
        </w:tc>
        <w:tc>
          <w:tcPr>
            <w:tcW w:w="2200" w:type="dxa"/>
            <w:tcBorders>
              <w:top w:val="single" w:sz="4" w:space="0" w:color="D0D5DD"/>
              <w:left w:val="single" w:sz="4" w:space="0" w:color="D0D5DD"/>
              <w:bottom w:val="single" w:sz="4" w:space="0" w:color="D0D5DD"/>
              <w:right w:val="single" w:sz="4" w:space="0" w:color="D0D5DD"/>
            </w:tcBorders>
          </w:tcPr>
          <w:p>
            <w:r>
              <w:t xml:space="preserve">6.7%</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7.0%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10.4%</w:t>
            </w:r>
          </w:p>
        </w:tc>
        <w:tc>
          <w:tcPr>
            <w:tcW w:w="2200" w:type="dxa"/>
            <w:tcBorders>
              <w:top w:val="single" w:sz="4" w:space="0" w:color="D0D5DD"/>
              <w:left w:val="single" w:sz="4" w:space="0" w:color="D0D5DD"/>
              <w:bottom w:val="single" w:sz="4" w:space="0" w:color="D0D5DD"/>
              <w:right w:val="single" w:sz="4" w:space="0" w:color="D0D5DD"/>
            </w:tcBorders>
          </w:tcPr>
          <w:p>
            <w:r>
              <w:t xml:space="preserve">4.2%</w:t>
            </w:r>
          </w:p>
        </w:tc>
        <w:tc>
          <w:tcPr>
            <w:tcW w:w="2200" w:type="dxa"/>
            <w:tcBorders>
              <w:top w:val="single" w:sz="4" w:space="0" w:color="D0D5DD"/>
              <w:left w:val="single" w:sz="4" w:space="0" w:color="D0D5DD"/>
              <w:bottom w:val="single" w:sz="4" w:space="0" w:color="D0D5DD"/>
              <w:right w:val="single" w:sz="4" w:space="0" w:color="D0D5DD"/>
            </w:tcBorders>
          </w:tcPr>
          <w:p>
            <w:r>
              <w:t xml:space="preserve">2.7%</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5.1%</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2.1%</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3.2%</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2.1%</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2.7%</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Top recurring themes and quotes</w:t>
      </w:r>
    </w:p>
    <w:p>
      <w:pPr>
        <w:pStyle w:val="ListParagraph"/>
        <w:numPr>
          <w:ilvl w:val="0"/>
          <w:numId w:val="1"/>
        </w:numPr>
      </w:pPr>
      <w:r>
        <w:rPr>
          <w:b/>
        </w:rPr>
        <w:t xml:space="preserve">Controls:</w:t>
      </w:r>
      <w:r>
        <w:t xml:space="preserve"> Touch and button controls are hard to read, overly sensitive, or easy to activate unintentionally. “The buttons cannot be read in less than bright light… It is too easy to turn off the oven when turning off the timer.” </w:t>
      </w:r>
    </w:p>
    <w:p>
      <w:pPr>
        <w:pStyle w:val="ListParagraph"/>
        <w:numPr>
          <w:ilvl w:val="0"/>
          <w:numId w:val="1"/>
        </w:numPr>
      </w:pPr>
      <w:r>
        <w:rPr>
          <w:b/>
        </w:rPr>
        <w:t xml:space="preserve">Overall quality:</w:t>
      </w:r>
      <w:r>
        <w:t xml:space="preserve"> Customers report early failures and poor durability for a premium-priced range. “Make a range that last for more than 1 month… I still have no oven.” </w:t>
      </w:r>
    </w:p>
    <w:p>
      <w:pPr>
        <w:pStyle w:val="ListParagraph"/>
        <w:numPr>
          <w:ilvl w:val="0"/>
          <w:numId w:val="1"/>
        </w:numPr>
      </w:pPr>
      <w:r>
        <w:rPr>
          <w:b/>
        </w:rPr>
        <w:t xml:space="preserve">Noise:</w:t>
      </w:r>
      <w:r>
        <w:t xml:space="preserve"> Cooling and oven fans are frequently described as excessively loud. “This is the loudest oven ever made… Sounds like the fan blades came off of an airplane motor.” </w:t>
      </w:r>
    </w:p>
    <w:p>
      <w:pPr>
        <w:pStyle w:val="ListParagraph"/>
        <w:numPr>
          <w:ilvl w:val="0"/>
          <w:numId w:val="1"/>
        </w:numPr>
      </w:pPr>
      <w:r>
        <w:rPr>
          <w:b/>
        </w:rPr>
        <w:t xml:space="preserve">Customer Service:</w:t>
      </w:r>
      <w:r>
        <w:t xml:space="preserve"> Long repair timelines and back‑ordered parts leave issues unresolved for months. “The parts… are back ordered for another 3 months. This is RIDICULOUS.” </w:t>
      </w:r>
    </w:p>
    <w:p>
      <w:pPr>
        <w:pStyle w:val="ListParagraph"/>
        <w:numPr>
          <w:ilvl w:val="0"/>
          <w:numId w:val="1"/>
        </w:numPr>
      </w:pPr>
      <w:r>
        <w:rPr>
          <w:b/>
        </w:rPr>
        <w:t xml:space="preserve">Temperature:</w:t>
      </w:r>
      <w:r>
        <w:t xml:space="preserve"> Users cite inaccurate temperatures and uneven or inconsistent baking. “Oven temperature control is not very good… ±25 degree swings.” </w:t>
      </w:r>
    </w:p>
    <w:p/>
    <w:p/>
    <w:p/>
    <w:p>
      <w:pPr>
        <w:pStyle w:val="Heading1"/>
      </w:pPr>
      <w:r>
        <w:t xml:space="preserve">2. Ovens</w:t>
      </w:r>
    </w:p>
    <w:p/>
    <w:p>
      <w:pPr>
        <w:pStyle w:val="Heading2"/>
      </w:pPr>
      <w:r>
        <w:t xml:space="preserve">Positive feedback by topic</w:t>
      </w:r>
    </w:p>
    <w:p>
      <w:r>
        <w:t xml:space="preserve">Positive oven feedback is led by overall quality, with secondary praise for temperature performance and appearance.</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75.0%</w:t>
            </w:r>
          </w:p>
        </w:tc>
        <w:tc>
          <w:tcPr>
            <w:tcW w:w="2200" w:type="dxa"/>
            <w:tcBorders>
              <w:top w:val="single" w:sz="4" w:space="0" w:color="D0D5DD"/>
              <w:left w:val="single" w:sz="4" w:space="0" w:color="D0D5DD"/>
              <w:bottom w:val="single" w:sz="4" w:space="0" w:color="D0D5DD"/>
              <w:right w:val="single" w:sz="4" w:space="0" w:color="D0D5DD"/>
            </w:tcBorders>
          </w:tcPr>
          <w:p>
            <w:r>
              <w:t xml:space="preserve">37.5%</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57.1%</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37.5%</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21.4%</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12.5%</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7.1%</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25.0%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7.1%</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12.5%</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7.1%</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Negative feedback by topic</w:t>
      </w:r>
    </w:p>
    <w:p>
      <w:r>
        <w:t xml:space="preserve">Negative oven feedback is most concentrated around temperature accuracy, overall quality, and control usability.</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15.0%</w:t>
            </w:r>
          </w:p>
        </w:tc>
        <w:tc>
          <w:tcPr>
            <w:tcW w:w="2200" w:type="dxa"/>
            <w:tcBorders>
              <w:top w:val="single" w:sz="4" w:space="0" w:color="D0D5DD"/>
              <w:left w:val="single" w:sz="4" w:space="0" w:color="D0D5DD"/>
              <w:bottom w:val="single" w:sz="4" w:space="0" w:color="D0D5DD"/>
              <w:right w:val="single" w:sz="4" w:space="0" w:color="D0D5DD"/>
            </w:tcBorders>
          </w:tcPr>
          <w:p>
            <w:r>
              <w:t xml:space="preserve">28.6%</w:t>
            </w:r>
          </w:p>
        </w:tc>
        <w:tc>
          <w:tcPr>
            <w:tcW w:w="2200" w:type="dxa"/>
            <w:tcBorders>
              <w:top w:val="single" w:sz="4" w:space="0" w:color="D0D5DD"/>
              <w:left w:val="single" w:sz="4" w:space="0" w:color="D0D5DD"/>
              <w:bottom w:val="single" w:sz="4" w:space="0" w:color="D0D5DD"/>
              <w:right w:val="single" w:sz="4" w:space="0" w:color="D0D5DD"/>
            </w:tcBorders>
          </w:tcPr>
          <w:p>
            <w:r>
              <w:t xml:space="preserve">32.5%</w:t>
            </w:r>
          </w:p>
        </w:tc>
        <w:tc>
          <w:tcPr>
            <w:tcW w:w="2200" w:type="dxa"/>
            <w:tcBorders>
              <w:top w:val="single" w:sz="4" w:space="0" w:color="D0D5DD"/>
              <w:left w:val="single" w:sz="4" w:space="0" w:color="D0D5DD"/>
              <w:bottom w:val="single" w:sz="4" w:space="0" w:color="D0D5DD"/>
              <w:right w:val="single" w:sz="4" w:space="0" w:color="D0D5DD"/>
            </w:tcBorders>
          </w:tcPr>
          <w:p>
            <w:r>
              <w:t xml:space="preserve">30.0%</w:t>
            </w:r>
          </w:p>
        </w:tc>
        <w:tc>
          <w:tcPr>
            <w:tcW w:w="2200" w:type="dxa"/>
            <w:tcBorders>
              <w:top w:val="single" w:sz="4" w:space="0" w:color="D0D5DD"/>
              <w:left w:val="single" w:sz="4" w:space="0" w:color="D0D5DD"/>
              <w:bottom w:val="single" w:sz="4" w:space="0" w:color="D0D5DD"/>
              <w:right w:val="single" w:sz="4" w:space="0" w:color="D0D5DD"/>
            </w:tcBorders>
          </w:tcPr>
          <w:p>
            <w:r>
              <w:t xml:space="preserve">27.4%</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45.0%</w:t>
            </w:r>
          </w:p>
        </w:tc>
        <w:tc>
          <w:tcPr>
            <w:tcW w:w="2200" w:type="dxa"/>
            <w:tcBorders>
              <w:top w:val="single" w:sz="4" w:space="0" w:color="D0D5DD"/>
              <w:left w:val="single" w:sz="4" w:space="0" w:color="D0D5DD"/>
              <w:bottom w:val="single" w:sz="4" w:space="0" w:color="D0D5DD"/>
              <w:right w:val="single" w:sz="4" w:space="0" w:color="D0D5DD"/>
            </w:tcBorders>
          </w:tcPr>
          <w:p>
            <w:r>
              <w:t xml:space="preserve">28.6%</w:t>
            </w:r>
          </w:p>
        </w:tc>
        <w:tc>
          <w:tcPr>
            <w:tcW w:w="2200" w:type="dxa"/>
            <w:tcBorders>
              <w:top w:val="single" w:sz="4" w:space="0" w:color="D0D5DD"/>
              <w:left w:val="single" w:sz="4" w:space="0" w:color="D0D5DD"/>
              <w:bottom w:val="single" w:sz="4" w:space="0" w:color="D0D5DD"/>
              <w:right w:val="single" w:sz="4" w:space="0" w:color="D0D5DD"/>
            </w:tcBorders>
          </w:tcPr>
          <w:p>
            <w:r>
              <w:t xml:space="preserve">15.0%</w:t>
            </w:r>
          </w:p>
        </w:tc>
        <w:tc>
          <w:tcPr>
            <w:tcW w:w="2200" w:type="dxa"/>
            <w:tcBorders>
              <w:top w:val="single" w:sz="4" w:space="0" w:color="D0D5DD"/>
              <w:left w:val="single" w:sz="4" w:space="0" w:color="D0D5DD"/>
              <w:bottom w:val="single" w:sz="4" w:space="0" w:color="D0D5DD"/>
              <w:right w:val="single" w:sz="4" w:space="0" w:color="D0D5DD"/>
            </w:tcBorders>
          </w:tcPr>
          <w:p>
            <w:r>
              <w:t xml:space="preserve">40.0%</w:t>
            </w:r>
          </w:p>
        </w:tc>
        <w:tc>
          <w:tcPr>
            <w:tcW w:w="2200" w:type="dxa"/>
            <w:tcBorders>
              <w:top w:val="single" w:sz="4" w:space="0" w:color="D0D5DD"/>
              <w:left w:val="single" w:sz="4" w:space="0" w:color="D0D5DD"/>
              <w:bottom w:val="single" w:sz="4" w:space="0" w:color="D0D5DD"/>
              <w:right w:val="single" w:sz="4" w:space="0" w:color="D0D5DD"/>
            </w:tcBorders>
          </w:tcPr>
          <w:p>
            <w:r>
              <w:t xml:space="preserve">27.4%</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30.0%</w:t>
            </w:r>
          </w:p>
        </w:tc>
        <w:tc>
          <w:tcPr>
            <w:tcW w:w="2200" w:type="dxa"/>
            <w:tcBorders>
              <w:top w:val="single" w:sz="4" w:space="0" w:color="D0D5DD"/>
              <w:left w:val="single" w:sz="4" w:space="0" w:color="D0D5DD"/>
              <w:bottom w:val="single" w:sz="4" w:space="0" w:color="D0D5DD"/>
              <w:right w:val="single" w:sz="4" w:space="0" w:color="D0D5DD"/>
            </w:tcBorders>
          </w:tcPr>
          <w:p>
            <w:r>
              <w:t xml:space="preserve">21.4%</w:t>
            </w:r>
          </w:p>
        </w:tc>
        <w:tc>
          <w:tcPr>
            <w:tcW w:w="2200" w:type="dxa"/>
            <w:tcBorders>
              <w:top w:val="single" w:sz="4" w:space="0" w:color="D0D5DD"/>
              <w:left w:val="single" w:sz="4" w:space="0" w:color="D0D5DD"/>
              <w:bottom w:val="single" w:sz="4" w:space="0" w:color="D0D5DD"/>
              <w:right w:val="single" w:sz="4" w:space="0" w:color="D0D5DD"/>
            </w:tcBorders>
          </w:tcPr>
          <w:p>
            <w:r>
              <w:t xml:space="preserve">27.5%</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25.0%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5.0%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6.0%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21.4%</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3.6%</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5.0%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2.5%</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3.6%</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7.5%</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3.6%</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2.4%</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1.2%</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Top recurring themes and quotes</w:t>
      </w:r>
    </w:p>
    <w:p>
      <w:pPr>
        <w:pStyle w:val="ListParagraph"/>
        <w:numPr>
          <w:ilvl w:val="0"/>
          <w:numId w:val="1"/>
        </w:numPr>
      </w:pPr>
      <w:r>
        <w:rPr>
          <w:b/>
        </w:rPr>
        <w:t xml:space="preserve">Temperature:</w:t>
      </w:r>
      <w:r>
        <w:t xml:space="preserve"> Inaccurate temperatures and very long preheating times are the most common complaint. “When the oven was preheated at 350 degrees it was only 325… finally reached 350.” </w:t>
      </w:r>
    </w:p>
    <w:p>
      <w:pPr>
        <w:pStyle w:val="ListParagraph"/>
        <w:numPr>
          <w:ilvl w:val="0"/>
          <w:numId w:val="1"/>
        </w:numPr>
      </w:pPr>
      <w:r>
        <w:rPr>
          <w:b/>
        </w:rPr>
        <w:t xml:space="preserve">Controls:</w:t>
      </w:r>
      <w:r>
        <w:t xml:space="preserve"> Displays and controls are small, hard to read, and confusing to operate. “The clock is very small and extremely hard to use and to read.” </w:t>
      </w:r>
    </w:p>
    <w:p>
      <w:pPr>
        <w:pStyle w:val="ListParagraph"/>
        <w:numPr>
          <w:ilvl w:val="0"/>
          <w:numId w:val="1"/>
        </w:numPr>
      </w:pPr>
      <w:r>
        <w:rPr>
          <w:b/>
        </w:rPr>
        <w:t xml:space="preserve">Overall quality:</w:t>
      </w:r>
      <w:r>
        <w:t xml:space="preserve"> Reliability issues and early failures undermine expectations of longevity. “After 4 years, the oven is non functional… continued to malfunction.” </w:t>
      </w:r>
    </w:p>
    <w:p>
      <w:pPr>
        <w:pStyle w:val="ListParagraph"/>
        <w:numPr>
          <w:ilvl w:val="0"/>
          <w:numId w:val="1"/>
        </w:numPr>
      </w:pPr>
      <w:r>
        <w:rPr>
          <w:b/>
        </w:rPr>
        <w:t xml:space="preserve">Noise:</w:t>
      </w:r>
      <w:r>
        <w:t xml:space="preserve"> Fans are frequently described as loud during standard baking. “Oven fan is very loud, in regular bake mode.” </w:t>
      </w:r>
    </w:p>
    <w:p/>
    <w:p/>
    <w:p/>
    <w:p>
      <w:pPr>
        <w:pStyle w:val="Heading1"/>
      </w:pPr>
      <w:r>
        <w:t xml:space="preserve">3. Gas Cooktops</w:t>
      </w:r>
    </w:p>
    <w:p/>
    <w:p>
      <w:pPr>
        <w:pStyle w:val="Heading2"/>
      </w:pPr>
      <w:r>
        <w:t xml:space="preserve">Positive feedback by topic</w:t>
      </w:r>
    </w:p>
    <w:p>
      <w:r>
        <w:t xml:space="preserve">Positive feedback is limited and mainly focused on customer service interactions and burner performance.</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66.7%</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Negative feedback by topic</w:t>
      </w:r>
    </w:p>
    <w:p>
      <w:r>
        <w:t xml:space="preserve">Negative feedback centers on overall quality and burner reliability, with notable issues around appearance and availability.</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50.0%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28.6%</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39.1%</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40.0%</w:t>
            </w:r>
          </w:p>
        </w:tc>
        <w:tc>
          <w:tcPr>
            <w:tcW w:w="2200" w:type="dxa"/>
            <w:tcBorders>
              <w:top w:val="single" w:sz="4" w:space="0" w:color="D0D5DD"/>
              <w:left w:val="single" w:sz="4" w:space="0" w:color="D0D5DD"/>
              <w:bottom w:val="single" w:sz="4" w:space="0" w:color="D0D5DD"/>
              <w:right w:val="single" w:sz="4" w:space="0" w:color="D0D5DD"/>
            </w:tcBorders>
          </w:tcPr>
          <w:p>
            <w:r>
              <w:t xml:space="preserve">28.6%</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21.7%</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14.3%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13.0%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14.3%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8.7%</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8.7%</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14.3%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4.3%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4.3%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Top recurring themes and quotes</w:t>
      </w:r>
    </w:p>
    <w:p>
      <w:pPr>
        <w:pStyle w:val="ListParagraph"/>
        <w:numPr>
          <w:ilvl w:val="0"/>
          <w:numId w:val="1"/>
        </w:numPr>
      </w:pPr>
      <w:r>
        <w:rPr>
          <w:b/>
        </w:rPr>
        <w:t xml:space="preserve">Overall quality:</w:t>
      </w:r>
      <w:r>
        <w:t xml:space="preserve"> Durability issues and early failures dominate complaints. “The quality of the cooktop is horrible, expensive piece of crap that stop work 10 days past the one year warranty.” </w:t>
      </w:r>
    </w:p>
    <w:p>
      <w:pPr>
        <w:pStyle w:val="ListParagraph"/>
        <w:numPr>
          <w:ilvl w:val="0"/>
          <w:numId w:val="1"/>
        </w:numPr>
      </w:pPr>
      <w:r>
        <w:rPr>
          <w:b/>
        </w:rPr>
        <w:t xml:space="preserve">Burners:</w:t>
      </w:r>
      <w:r>
        <w:t xml:space="preserve"> Ignition problems and unreliable burner performance are common. “It is next to impossible to light and often turns on.” </w:t>
      </w:r>
    </w:p>
    <w:p>
      <w:pPr>
        <w:pStyle w:val="ListParagraph"/>
        <w:numPr>
          <w:ilvl w:val="0"/>
          <w:numId w:val="1"/>
        </w:numPr>
      </w:pPr>
      <w:r>
        <w:rPr>
          <w:b/>
        </w:rPr>
        <w:t xml:space="preserve">Controls:</w:t>
      </w:r>
      <w:r>
        <w:t xml:space="preserve"> Control knobs are seen as poorly made and prone to cracking or breaking. “The knobs are bad quality… plastic… cracks and broke off.” </w:t>
      </w:r>
    </w:p>
    <w:p>
      <w:pPr>
        <w:pStyle w:val="ListParagraph"/>
        <w:numPr>
          <w:ilvl w:val="0"/>
          <w:numId w:val="1"/>
        </w:numPr>
      </w:pPr>
      <w:r>
        <w:rPr>
          <w:b/>
        </w:rPr>
        <w:t xml:space="preserve">Appearance:</w:t>
      </w:r>
      <w:r>
        <w:t xml:space="preserve"> Stainless finishes scratch and wear faster than expected. “Cheap stainless… extremely easy to scratch.” </w:t>
      </w:r>
    </w:p>
    <w:p/>
    <w:p/>
    <w:p/>
    <w:p>
      <w:pPr>
        <w:pStyle w:val="Heading1"/>
      </w:pPr>
      <w:r>
        <w:t xml:space="preserve">4. Microwaves</w:t>
      </w:r>
    </w:p>
    <w:p/>
    <w:p>
      <w:pPr>
        <w:pStyle w:val="Heading2"/>
      </w:pPr>
      <w:r>
        <w:t xml:space="preserve">Positive feedback by topic</w:t>
      </w:r>
    </w:p>
    <w:p>
      <w:r>
        <w:t xml:space="preserve">Positive feedback most often highlights overall quality and customer service, with smaller mentions of controls and appearance.</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66.7%</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40.0%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40.0%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13.3%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6.7%</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6.7%</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Negative feedback by topic</w:t>
      </w:r>
    </w:p>
    <w:p>
      <w:r>
        <w:t xml:space="preserve">Negative feedback is split primarily between overall quality and control usability, with additional complaints about noise and service.</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28.0%</w:t>
            </w:r>
          </w:p>
        </w:tc>
        <w:tc>
          <w:tcPr>
            <w:tcW w:w="2200" w:type="dxa"/>
            <w:tcBorders>
              <w:top w:val="single" w:sz="4" w:space="0" w:color="D0D5DD"/>
              <w:left w:val="single" w:sz="4" w:space="0" w:color="D0D5DD"/>
              <w:bottom w:val="single" w:sz="4" w:space="0" w:color="D0D5DD"/>
              <w:right w:val="single" w:sz="4" w:space="0" w:color="D0D5DD"/>
            </w:tcBorders>
          </w:tcPr>
          <w:p>
            <w:r>
              <w:t xml:space="preserve">40.0%</w:t>
            </w:r>
          </w:p>
        </w:tc>
        <w:tc>
          <w:tcPr>
            <w:tcW w:w="2200" w:type="dxa"/>
            <w:tcBorders>
              <w:top w:val="single" w:sz="4" w:space="0" w:color="D0D5DD"/>
              <w:left w:val="single" w:sz="4" w:space="0" w:color="D0D5DD"/>
              <w:bottom w:val="single" w:sz="4" w:space="0" w:color="D0D5DD"/>
              <w:right w:val="single" w:sz="4" w:space="0" w:color="D0D5DD"/>
            </w:tcBorders>
          </w:tcPr>
          <w:p>
            <w:r>
              <w:t xml:space="preserve">27.6%</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31.9%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24.0%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38.2%</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31.0%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16.0%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9.2%</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11.2%</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8.0%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9.2%</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7.8%</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8.0%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5.3%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6.9%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4.0%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4.3%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8.0%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2.6%</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3.4%</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4.0%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2.6%</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2.6%</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Top recurring themes and quotes</w:t>
      </w:r>
    </w:p>
    <w:p>
      <w:pPr>
        <w:pStyle w:val="ListParagraph"/>
        <w:numPr>
          <w:ilvl w:val="0"/>
          <w:numId w:val="1"/>
        </w:numPr>
      </w:pPr>
      <w:r>
        <w:rPr>
          <w:b/>
        </w:rPr>
        <w:t xml:space="preserve">Controls:</w:t>
      </w:r>
      <w:r>
        <w:t xml:space="preserve"> Panels are dim, hard to read, and confusing to use. “The panel of numbers is very dim… quite difficult to read.” </w:t>
      </w:r>
    </w:p>
    <w:p>
      <w:pPr>
        <w:pStyle w:val="ListParagraph"/>
        <w:numPr>
          <w:ilvl w:val="0"/>
          <w:numId w:val="1"/>
        </w:numPr>
      </w:pPr>
      <w:r>
        <w:rPr>
          <w:b/>
        </w:rPr>
        <w:t xml:space="preserve">Overall quality:</w:t>
      </w:r>
      <w:r>
        <w:t xml:space="preserve"> Early component failures and flimsy construction are common. “The top piece’s clips are plastic and fall apart.” </w:t>
      </w:r>
    </w:p>
    <w:p>
      <w:pPr>
        <w:pStyle w:val="ListParagraph"/>
        <w:numPr>
          <w:ilvl w:val="0"/>
          <w:numId w:val="1"/>
        </w:numPr>
      </w:pPr>
      <w:r>
        <w:rPr>
          <w:b/>
        </w:rPr>
        <w:t xml:space="preserve">Noise:</w:t>
      </w:r>
      <w:r>
        <w:t xml:space="preserve"> Operating noise and fan loudness stand out negatively. “The microwave is the loudest I’ve ever owned.” </w:t>
      </w:r>
    </w:p>
    <w:p>
      <w:pPr>
        <w:pStyle w:val="ListParagraph"/>
        <w:numPr>
          <w:ilvl w:val="0"/>
          <w:numId w:val="1"/>
        </w:numPr>
      </w:pPr>
      <w:r>
        <w:rPr>
          <w:b/>
        </w:rPr>
        <w:t xml:space="preserve">Customer Service:</w:t>
      </w:r>
      <w:r>
        <w:t xml:space="preserve"> Long hold times and lack of follow‑up frustrate customers. “Wait hours on hold and never get a call back.” </w:t>
      </w:r>
    </w:p>
    <w:p/>
    <w:p/>
    <w:p/>
    <w:p>
      <w:pPr>
        <w:pStyle w:val="Heading1"/>
      </w:pPr>
      <w:r>
        <w:t xml:space="preserve">5. Induction / Electric Cooktops</w:t>
      </w:r>
    </w:p>
    <w:p/>
    <w:p>
      <w:pPr>
        <w:pStyle w:val="Heading2"/>
      </w:pPr>
      <w:r>
        <w:t xml:space="preserve">Positive feedback by topic</w:t>
      </w:r>
    </w:p>
    <w:p>
      <w:r>
        <w:t xml:space="preserve">Positive feedback focuses mainly on perceived overall quality and customer service, with smaller mentions of appearance and controls.</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c>
          <w:tcPr>
            <w:tcW w:w="2200" w:type="dxa"/>
            <w:tcBorders>
              <w:top w:val="single" w:sz="4" w:space="0" w:color="D0D5DD"/>
              <w:left w:val="single" w:sz="4" w:space="0" w:color="D0D5DD"/>
              <w:bottom w:val="single" w:sz="4" w:space="0" w:color="D0D5DD"/>
              <w:right w:val="single" w:sz="4" w:space="0" w:color="D0D5DD"/>
            </w:tcBorders>
          </w:tcPr>
          <w:p>
            <w:r>
              <w:t xml:space="preserve">100.0%</w:t>
            </w:r>
          </w:p>
        </w:tc>
        <w:tc>
          <w:tcPr>
            <w:tcW w:w="2200" w:type="dxa"/>
            <w:tcBorders>
              <w:top w:val="single" w:sz="4" w:space="0" w:color="D0D5DD"/>
              <w:left w:val="single" w:sz="4" w:space="0" w:color="D0D5DD"/>
              <w:bottom w:val="single" w:sz="4" w:space="0" w:color="D0D5DD"/>
              <w:right w:val="single" w:sz="4" w:space="0" w:color="D0D5DD"/>
            </w:tcBorders>
          </w:tcPr>
          <w:p>
            <w:r>
              <w:t xml:space="preserve">42.9%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50.0%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28.6%</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50.0%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14.3%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33.3%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14.3%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Negative feedback by topic</w:t>
      </w:r>
    </w:p>
    <w:p>
      <w:r>
        <w:t xml:space="preserve">Negative feedback is driven primarily by control usability, customer service issues, and perceptions of quality.</w:t>
      </w:r>
    </w:p>
    <w:p/>
    <w:tbl>
      <w:tblPr>
        <w:tblW w:w="0" w:type="auto"/>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r>
        <w:tc>
          <w:tcPr>
            <w:tcW w:w="2200" w:type="dxa"/>
            <w:shd w:fill="EAF0F6"/>
            <w:tcBorders>
              <w:top w:val="single" w:sz="4" w:space="0" w:color="D0D5DD"/>
              <w:left w:val="single" w:sz="4" w:space="0" w:color="D0D5DD"/>
              <w:bottom w:val="single" w:sz="4" w:space="0" w:color="D0D5DD"/>
              <w:right w:val="single" w:sz="4" w:space="0" w:color="D0D5DD"/>
            </w:tcBorders>
          </w:tcPr>
          <w:p>
            <w:r>
              <w:rPr>
                <w:b/>
              </w:rPr>
              <w:t>Topics (RNA)</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1 year</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3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45 days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6 years</w:t>
            </w:r>
          </w:p>
        </w:tc>
        <w:tc>
          <w:tcPr>
            <w:tcW w:w="2200" w:type="dxa"/>
            <w:shd w:fill="EAF0F6"/>
            <w:tcBorders>
              <w:top w:val="single" w:sz="4" w:space="0" w:color="D0D5DD"/>
              <w:left w:val="single" w:sz="4" w:space="0" w:color="D0D5DD"/>
              <w:bottom w:val="single" w:sz="4" w:space="0" w:color="D0D5DD"/>
              <w:right w:val="single" w:sz="4" w:space="0" w:color="D0D5DD"/>
            </w:tcBorders>
          </w:tcPr>
          <w:p>
            <w:r>
              <w:rPr>
                <w:b/>
              </w:rPr>
              <w:t>Total</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Controls</w:t>
            </w:r>
          </w:p>
        </w:tc>
        <w:tc>
          <w:tcPr>
            <w:tcW w:w="2200" w:type="dxa"/>
            <w:tcBorders>
              <w:top w:val="single" w:sz="4" w:space="0" w:color="D0D5DD"/>
              <w:left w:val="single" w:sz="4" w:space="0" w:color="D0D5DD"/>
              <w:bottom w:val="single" w:sz="4" w:space="0" w:color="D0D5DD"/>
              <w:right w:val="single" w:sz="4" w:space="0" w:color="D0D5DD"/>
            </w:tcBorders>
          </w:tcPr>
          <w:p>
            <w:r>
              <w:t xml:space="preserve">40.0%</w:t>
            </w:r>
          </w:p>
        </w:tc>
        <w:tc>
          <w:tcPr>
            <w:tcW w:w="2200" w:type="dxa"/>
            <w:tcBorders>
              <w:top w:val="single" w:sz="4" w:space="0" w:color="D0D5DD"/>
              <w:left w:val="single" w:sz="4" w:space="0" w:color="D0D5DD"/>
              <w:bottom w:val="single" w:sz="4" w:space="0" w:color="D0D5DD"/>
              <w:right w:val="single" w:sz="4" w:space="0" w:color="D0D5DD"/>
            </w:tcBorders>
          </w:tcPr>
          <w:p>
            <w:r>
              <w:t xml:space="preserve">25.0%</w:t>
            </w:r>
          </w:p>
        </w:tc>
        <w:tc>
          <w:tcPr>
            <w:tcW w:w="2200" w:type="dxa"/>
            <w:tcBorders>
              <w:top w:val="single" w:sz="4" w:space="0" w:color="D0D5DD"/>
              <w:left w:val="single" w:sz="4" w:space="0" w:color="D0D5DD"/>
              <w:bottom w:val="single" w:sz="4" w:space="0" w:color="D0D5DD"/>
              <w:right w:val="single" w:sz="4" w:space="0" w:color="D0D5DD"/>
            </w:tcBorders>
          </w:tcPr>
          <w:p>
            <w:r>
              <w:t xml:space="preserve">6.7%</w:t>
            </w:r>
          </w:p>
        </w:tc>
        <w:tc>
          <w:tcPr>
            <w:tcW w:w="2200" w:type="dxa"/>
            <w:tcBorders>
              <w:top w:val="single" w:sz="4" w:space="0" w:color="D0D5DD"/>
              <w:left w:val="single" w:sz="4" w:space="0" w:color="D0D5DD"/>
              <w:bottom w:val="single" w:sz="4" w:space="0" w:color="D0D5DD"/>
              <w:right w:val="single" w:sz="4" w:space="0" w:color="D0D5DD"/>
            </w:tcBorders>
          </w:tcPr>
          <w:p>
            <w:r>
              <w:t xml:space="preserve">60.0%</w:t>
            </w:r>
          </w:p>
        </w:tc>
        <w:tc>
          <w:tcPr>
            <w:tcW w:w="2200" w:type="dxa"/>
            <w:tcBorders>
              <w:top w:val="single" w:sz="4" w:space="0" w:color="D0D5DD"/>
              <w:left w:val="single" w:sz="4" w:space="0" w:color="D0D5DD"/>
              <w:bottom w:val="single" w:sz="4" w:space="0" w:color="D0D5DD"/>
              <w:right w:val="single" w:sz="4" w:space="0" w:color="D0D5DD"/>
            </w:tcBorders>
          </w:tcPr>
          <w:p>
            <w:r>
              <w:t xml:space="preserve">24.1%</w:t>
            </w:r>
          </w:p>
        </w:tc>
      </w:tr>
      <w:tr>
        <w:tc>
          <w:tcPr>
            <w:tcW w:w="2200" w:type="dxa"/>
            <w:tcBorders>
              <w:top w:val="single" w:sz="4" w:space="0" w:color="D0D5DD"/>
              <w:left w:val="single" w:sz="4" w:space="0" w:color="D0D5DD"/>
              <w:bottom w:val="single" w:sz="4" w:space="0" w:color="D0D5DD"/>
              <w:right w:val="single" w:sz="4" w:space="0" w:color="D0D5DD"/>
            </w:tcBorders>
          </w:tcPr>
          <w:p>
            <w:r>
              <w:t xml:space="preserve">Customer Service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25.0%</w:t>
            </w:r>
          </w:p>
        </w:tc>
        <w:tc>
          <w:tcPr>
            <w:tcW w:w="2200" w:type="dxa"/>
            <w:tcBorders>
              <w:top w:val="single" w:sz="4" w:space="0" w:color="D0D5DD"/>
              <w:left w:val="single" w:sz="4" w:space="0" w:color="D0D5DD"/>
              <w:bottom w:val="single" w:sz="4" w:space="0" w:color="D0D5DD"/>
              <w:right w:val="single" w:sz="4" w:space="0" w:color="D0D5DD"/>
            </w:tcBorders>
          </w:tcPr>
          <w:p>
            <w:r>
              <w:t xml:space="preserve">26.7%</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17.2%</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Overall Quality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50.0%</w:t>
            </w:r>
          </w:p>
        </w:tc>
        <w:tc>
          <w:tcPr>
            <w:tcW w:w="2200" w:type="dxa"/>
            <w:tcBorders>
              <w:top w:val="single" w:sz="4" w:space="0" w:color="D0D5DD"/>
              <w:left w:val="single" w:sz="4" w:space="0" w:color="D0D5DD"/>
              <w:bottom w:val="single" w:sz="4" w:space="0" w:color="D0D5DD"/>
              <w:right w:val="single" w:sz="4" w:space="0" w:color="D0D5DD"/>
            </w:tcBorders>
          </w:tcPr>
          <w:p>
            <w:r>
              <w:t xml:space="preserve">6.7%</w:t>
            </w:r>
          </w:p>
        </w:tc>
        <w:tc>
          <w:tcPr>
            <w:tcW w:w="2200" w:type="dxa"/>
            <w:tcBorders>
              <w:top w:val="single" w:sz="4" w:space="0" w:color="D0D5DD"/>
              <w:left w:val="single" w:sz="4" w:space="0" w:color="D0D5DD"/>
              <w:bottom w:val="single" w:sz="4" w:space="0" w:color="D0D5DD"/>
              <w:right w:val="single" w:sz="4" w:space="0" w:color="D0D5DD"/>
            </w:tcBorders>
          </w:tcPr>
          <w:p>
            <w:r>
              <w:t xml:space="preserve">40.0%</w:t>
            </w:r>
          </w:p>
        </w:tc>
        <w:tc>
          <w:tcPr>
            <w:tcW w:w="2200" w:type="dxa"/>
            <w:tcBorders>
              <w:top w:val="single" w:sz="4" w:space="0" w:color="D0D5DD"/>
              <w:left w:val="single" w:sz="4" w:space="0" w:color="D0D5DD"/>
              <w:bottom w:val="single" w:sz="4" w:space="0" w:color="D0D5DD"/>
              <w:right w:val="single" w:sz="4" w:space="0" w:color="D0D5DD"/>
            </w:tcBorders>
          </w:tcPr>
          <w:p>
            <w:r>
              <w:t xml:space="preserve">17.2%</w:t>
            </w:r>
          </w:p>
        </w:tc>
      </w:tr>
      <w:tr>
        <w:tc>
          <w:tcPr>
            <w:tcW w:w="2200" w:type="dxa"/>
            <w:tcBorders>
              <w:top w:val="single" w:sz="4" w:space="0" w:color="D0D5DD"/>
              <w:left w:val="single" w:sz="4" w:space="0" w:color="D0D5DD"/>
              <w:bottom w:val="single" w:sz="4" w:space="0" w:color="D0D5DD"/>
              <w:right w:val="single" w:sz="4" w:space="0" w:color="D0D5DD"/>
            </w:tcBorders>
          </w:tcPr>
          <w:p>
            <w:r>
              <w:t xml:space="preserve">Owner Manual</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13.8%</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Appearance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10.3%</w:t>
            </w:r>
          </w:p>
        </w:tc>
      </w:tr>
      <w:tr>
        <w:tc>
          <w:tcPr>
            <w:tcW w:w="2200" w:type="dxa"/>
            <w:tcBorders>
              <w:top w:val="single" w:sz="4" w:space="0" w:color="D0D5DD"/>
              <w:left w:val="single" w:sz="4" w:space="0" w:color="D0D5DD"/>
              <w:bottom w:val="single" w:sz="4" w:space="0" w:color="D0D5DD"/>
              <w:right w:val="single" w:sz="4" w:space="0" w:color="D0D5DD"/>
            </w:tcBorders>
          </w:tcPr>
          <w:p>
            <w:r>
              <w:t xml:space="preserve">Availability</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13.3%</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6.9%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Noise</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6.7%</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6.9%</w:t>
            </w:r>
          </w:p>
        </w:tc>
      </w:tr>
      <w:tr>
        <w:tc>
          <w:tcPr>
            <w:tcW w:w="2200" w:type="dxa"/>
            <w:tcBorders>
              <w:top w:val="single" w:sz="4" w:space="0" w:color="D0D5DD"/>
              <w:left w:val="single" w:sz="4" w:space="0" w:color="D0D5DD"/>
              <w:bottom w:val="single" w:sz="4" w:space="0" w:color="D0D5DD"/>
              <w:right w:val="single" w:sz="4" w:space="0" w:color="D0D5DD"/>
            </w:tcBorders>
          </w:tcPr>
          <w:p>
            <w:r>
              <w:t xml:space="preserve">Burners</w:t>
            </w:r>
          </w:p>
        </w:tc>
        <w:tc>
          <w:tcPr>
            <w:tcW w:w="2200" w:type="dxa"/>
            <w:tcBorders>
              <w:top w:val="single" w:sz="4" w:space="0" w:color="D0D5DD"/>
              <w:left w:val="single" w:sz="4" w:space="0" w:color="D0D5DD"/>
              <w:bottom w:val="single" w:sz="4" w:space="0" w:color="D0D5DD"/>
              <w:right w:val="single" w:sz="4" w:space="0" w:color="D0D5DD"/>
            </w:tcBorders>
          </w:tcPr>
          <w:p>
            <w:r>
              <w:t xml:space="preserve">20.0%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3.4%</w:t>
            </w:r>
          </w:p>
        </w:tc>
      </w:tr>
      <w:tr>
        <w:tc>
          <w:tcPr>
            <w:tcW w:w="2200" w:type="dxa"/>
            <w:tcBorders>
              <w:top w:val="single" w:sz="4" w:space="0" w:color="D0D5DD"/>
              <w:left w:val="single" w:sz="4" w:space="0" w:color="D0D5DD"/>
              <w:bottom w:val="single" w:sz="4" w:space="0" w:color="D0D5DD"/>
              <w:right w:val="single" w:sz="4" w:space="0" w:color="D0D5DD"/>
            </w:tcBorders>
          </w:tcPr>
          <w:p>
            <w:r>
              <w:t xml:space="preserve">Temperature</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r>
        <w:tc>
          <w:tcPr>
            <w:tcW w:w="2200" w:type="dxa"/>
            <w:tcBorders>
              <w:top w:val="single" w:sz="4" w:space="0" w:color="D0D5DD"/>
              <w:left w:val="single" w:sz="4" w:space="0" w:color="D0D5DD"/>
              <w:bottom w:val="single" w:sz="4" w:space="0" w:color="D0D5DD"/>
              <w:right w:val="single" w:sz="4" w:space="0" w:color="D0D5DD"/>
            </w:tcBorders>
          </w:tcPr>
          <w:p>
            <w:r>
              <w:t xml:space="preserve">N/A</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c>
          <w:tcPr>
            <w:tcW w:w="2200" w:type="dxa"/>
            <w:tcBorders>
              <w:top w:val="single" w:sz="4" w:space="0" w:color="D0D5DD"/>
              <w:left w:val="single" w:sz="4" w:space="0" w:color="D0D5DD"/>
              <w:bottom w:val="single" w:sz="4" w:space="0" w:color="D0D5DD"/>
              <w:right w:val="single" w:sz="4" w:space="0" w:color="D0D5DD"/>
            </w:tcBorders>
          </w:tcPr>
          <w:p>
            <w:r>
              <w:t xml:space="preserve">0.0%</w:t>
            </w:r>
          </w:p>
        </w:tc>
      </w:tr>
    </w:tbl>
    <w:p/>
    <w:p/>
    <w:p>
      <w:pPr>
        <w:pStyle w:val="Heading2"/>
      </w:pPr>
      <w:r>
        <w:t xml:space="preserve">Top recurring themes and quotes</w:t>
      </w:r>
    </w:p>
    <w:p>
      <w:pPr>
        <w:pStyle w:val="ListParagraph"/>
        <w:numPr>
          <w:ilvl w:val="0"/>
          <w:numId w:val="1"/>
        </w:numPr>
      </w:pPr>
      <w:r>
        <w:rPr>
          <w:b/>
        </w:rPr>
        <w:t xml:space="preserve">Controls:</w:t>
      </w:r>
      <w:r>
        <w:t xml:space="preserve"> Touch interfaces are confusing and make it easy to adjust the wrong burner. “The user control panel is poorly designed… extremely easy to change the heat setting for the wrong element.” </w:t>
      </w:r>
    </w:p>
    <w:p>
      <w:pPr>
        <w:pStyle w:val="ListParagraph"/>
        <w:numPr>
          <w:ilvl w:val="0"/>
          <w:numId w:val="1"/>
        </w:numPr>
      </w:pPr>
      <w:r>
        <w:rPr>
          <w:b/>
        </w:rPr>
        <w:t xml:space="preserve">Overall quality:</w:t>
      </w:r>
      <w:r>
        <w:t xml:space="preserve"> Customers report stains, scratches, and early failures that reduce perceived durability. “Breaks easily… way better than Bosch.” </w:t>
      </w:r>
    </w:p>
    <w:p>
      <w:pPr>
        <w:pStyle w:val="ListParagraph"/>
        <w:numPr>
          <w:ilvl w:val="0"/>
          <w:numId w:val="1"/>
        </w:numPr>
      </w:pPr>
      <w:r>
        <w:rPr>
          <w:b/>
        </w:rPr>
        <w:t xml:space="preserve">Customer Service:</w:t>
      </w:r>
      <w:r>
        <w:t xml:space="preserve"> Slow response and lack of follow‑up after issues are reported. “No one called back… Extremely disappointed with the service response.” </w:t>
      </w:r>
    </w:p>
    <w:p>
      <w:pPr>
        <w:pStyle w:val="ListParagraph"/>
        <w:numPr>
          <w:ilvl w:val="0"/>
          <w:numId w:val="1"/>
        </w:numPr>
      </w:pPr>
      <w:r>
        <w:rPr>
          <w:b/>
        </w:rPr>
        <w:t xml:space="preserve">Appearance:</w:t>
      </w:r>
      <w:r>
        <w:t xml:space="preserve"> Glass and surface finishes scratch quickly during normal use. “My two month old cooktop already has a scratch on it.”</w:t>
      </w:r>
    </w:p>
    <w:sectPr>
      <w:pgSz w:w="11906" w:h="16838"/>
      <w:pgMar w:top="1134" w:right="1134" w:bottom="1134" w:left="1134"/>
    </w:sectPr>
  </w:body>
</w:document>
</file>

<file path=word/numbering.xml><?xml version="1.0" encoding="utf-8"?>
<w:numbering xmlns:w="http://schemas.openxmlformats.org/wordprocessingml/2006/main">
  <w:abstractNum w:abstractNumId="0">
    <w:lvl w:ilvl="0">
      <w:start w:val="1"/>
      <w:numFmt w:val="bullet"/>
      <w:lvlText w:val="•"/>
      <w:lvlJc w:val="left"/>
      <w:pPr>
        <w:ind w:left="720" w:hanging="360"/>
      </w:pPr>
    </w:lvl>
  </w:abstractNum>
  <w:num w:numId="1">
    <w:abstractNumId w:val="0"/>
  </w:num>
</w:numbering>
</file>

<file path=word/styles.xml><?xml version="1.0" encoding="utf-8"?>
<w:styles xmlns:w="http://schemas.openxmlformats.org/wordprocessingml/2006/main">
  <w:style w:type="paragraph" w:default="1" w:styleId="Normal">
    <w:name w:val="Normal"/>
    <w:rPr>
      <w:rFonts w:ascii="Aptos" w:hAnsi="Aptos"/>
      <w:sz w:val="22"/>
      <w:color w:val="172033"/>
    </w:rPr>
    <w:pPr>
      <w:spacing w:after="160" w:line="276" w:lineRule="auto"/>
    </w:pPr>
  </w:style>
  <w:style w:type="paragraph" w:styleId="Title">
    <w:name w:val="Title"/>
    <w:rPr>
      <w:b/>
      <w:sz w:val="36"/>
      <w:color w:val="102A43"/>
    </w:rPr>
    <w:pPr>
      <w:spacing w:after="360"/>
    </w:pPr>
  </w:style>
  <w:style w:type="paragraph" w:styleId="Heading1">
    <w:name w:val="heading 1"/>
    <w:basedOn w:val="Normal"/>
    <w:next w:val="Normal"/>
    <w:qFormat/>
    <w:rPr>
      <w:b/>
      <w:sz w:val="30"/>
      <w:color w:val="102A43"/>
    </w:rPr>
    <w:pPr>
      <w:spacing w:before="420" w:after="180"/>
    </w:pPr>
  </w:style>
  <w:style w:type="paragraph" w:styleId="Heading2">
    <w:name w:val="heading 2"/>
    <w:basedOn w:val="Normal"/>
    <w:next w:val="Normal"/>
    <w:qFormat/>
    <w:rPr>
      <w:b/>
      <w:sz w:val="25"/>
      <w:color w:val="243B53"/>
    </w:rPr>
    <w:pPr>
      <w:spacing w:before="240" w:after="120"/>
    </w:pPr>
  </w:style>
  <w:style w:type="paragraph" w:styleId="ListParagraph">
    <w:name w:val="List Paragraph"/>
    <w:basedOn w:val="Normal"/>
    <w:pPr>
      <w:ind w:left="720" w:hanging="360"/>
    </w:p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s>
</file>